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0"/>
        <w:jc w:val="center"/>
        <w:outlineLvl w:val="0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蚌埠城启环境服务有限公司车辆保养用油品采购项目</w:t>
      </w:r>
    </w:p>
    <w:p>
      <w:pPr>
        <w:pStyle w:val="2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 xml:space="preserve">                        （询比价）</w:t>
      </w:r>
    </w:p>
    <w:p>
      <w:pPr>
        <w:pStyle w:val="2"/>
        <w:ind w:left="0" w:leftChars="0" w:firstLine="0" w:firstLineChars="0"/>
        <w:rPr>
          <w:rFonts w:hint="default"/>
          <w:highlight w:val="none"/>
          <w:lang w:val="en-US" w:eastAsia="zh-CN"/>
        </w:rPr>
      </w:pP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/>
          <w:i w:val="0"/>
          <w:iCs/>
          <w:color w:val="auto"/>
          <w:sz w:val="28"/>
          <w:szCs w:val="28"/>
          <w:highlight w:val="none"/>
          <w:u w:val="none"/>
          <w:lang w:eastAsia="zh-CN"/>
        </w:rPr>
        <w:t>蚌埠城启环境服务有限公司202</w:t>
      </w:r>
      <w:r>
        <w:rPr>
          <w:rFonts w:hint="eastAsia" w:ascii="Times New Roman" w:hAnsi="Times New Roman" w:eastAsia="仿宋" w:cs="Times New Roman"/>
          <w:b w:val="0"/>
          <w:bCs/>
          <w:i w:val="0"/>
          <w:iCs/>
          <w:color w:val="auto"/>
          <w:sz w:val="28"/>
          <w:szCs w:val="28"/>
          <w:highlight w:val="none"/>
          <w:u w:val="none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 w:val="0"/>
          <w:bCs/>
          <w:i w:val="0"/>
          <w:iCs/>
          <w:color w:val="auto"/>
          <w:sz w:val="28"/>
          <w:szCs w:val="28"/>
          <w:highlight w:val="none"/>
          <w:u w:val="none"/>
          <w:lang w:eastAsia="zh-CN"/>
        </w:rPr>
        <w:t>年车辆保养油品采购项目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进行国内公开询比采购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eastAsia="zh-CN"/>
        </w:rPr>
        <w:t>。</w:t>
      </w:r>
    </w:p>
    <w:p>
      <w:pPr>
        <w:pStyle w:val="3"/>
        <w:keepNext/>
        <w:keepLines/>
        <w:pageBreakBefore w:val="0"/>
        <w:widowControl w:val="0"/>
        <w:tabs>
          <w:tab w:val="left" w:pos="49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1.采购项目简介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>1.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>采购项目名称：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eastAsia="zh-CN"/>
        </w:rPr>
        <w:t>蚌埠城启环境服务有限公司202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eastAsia="zh-CN"/>
        </w:rPr>
        <w:t>年车辆保养用油采购项目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>1.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>采购人：蚌埠城启环境服务有限公司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>1.</w:t>
      </w:r>
      <w:r>
        <w:rPr>
          <w:rFonts w:hint="eastAsia" w:asci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>资金来源：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>企业自筹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Times New Roman"/>
          <w:color w:val="FF0000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1.</w:t>
      </w:r>
      <w:r>
        <w:rPr>
          <w:rFonts w:hint="eastAsia" w:ascii="Times New Roman" w:eastAsia="仿宋" w:cs="Times New Roman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4</w:t>
      </w: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采购项目概况：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>蚌埠城启环境服务有限公司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>拟采购202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>车辆保养用油品</w:t>
      </w:r>
      <w:r>
        <w:rPr>
          <w:rFonts w:hint="eastAsia" w:ascii="Times New Roman" w:hAnsi="Times New Roman" w:eastAsia="仿宋" w:cs="Times New Roman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（润滑脂、齿轮油、柴汽机油等）</w:t>
      </w:r>
      <w:r>
        <w:rPr>
          <w:rFonts w:hint="eastAsia" w:ascii="Times New Roman" w:eastAsia="仿宋" w:cs="Times New Roman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。</w:t>
      </w:r>
      <w:r>
        <w:rPr>
          <w:rFonts w:hint="eastAsia" w:ascii="Times New Roman" w:eastAsia="仿宋" w:cs="Times New Roman"/>
          <w:color w:val="FF0000"/>
          <w:kern w:val="2"/>
          <w:sz w:val="28"/>
          <w:szCs w:val="28"/>
          <w:highlight w:val="none"/>
          <w:u w:val="none"/>
          <w:lang w:val="en-US" w:eastAsia="zh-CN" w:bidi="ar-SA"/>
        </w:rPr>
        <w:t>详细采购物品种类及型号见附件。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  <w:u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  <w:u w:val="none"/>
        </w:rPr>
        <w:t>2.采购范围及相关要求</w:t>
      </w: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>2.1采购范围：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eastAsia="zh-CN"/>
        </w:rPr>
        <w:t>机动车辆保养用油品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>的</w:t>
      </w:r>
      <w:r>
        <w:rPr>
          <w:rFonts w:hint="eastAsia" w:ascii="Times New Roman" w:hAnsi="Times New Roman" w:eastAsia="仿宋" w:cs="Times New Roman"/>
          <w:color w:val="FF0000"/>
          <w:sz w:val="28"/>
          <w:szCs w:val="28"/>
          <w:highlight w:val="none"/>
          <w:u w:val="none"/>
          <w:lang w:val="en-US" w:eastAsia="zh-CN"/>
        </w:rPr>
        <w:t>单价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eastAsia="zh-CN"/>
        </w:rPr>
        <w:t>品质、供货、</w:t>
      </w:r>
      <w:bookmarkStart w:id="0" w:name="_GoBack"/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>售后服务</w:t>
      </w:r>
      <w:r>
        <w:rPr>
          <w:rFonts w:hint="eastAsia" w:ascii="Times New Roman" w:hAnsi="Times New Roman" w:eastAsia="仿宋" w:cs="Times New Roman"/>
          <w:color w:val="FF0000"/>
          <w:sz w:val="28"/>
          <w:szCs w:val="28"/>
          <w:highlight w:val="none"/>
          <w:u w:val="none"/>
          <w:lang w:eastAsia="zh-CN"/>
        </w:rPr>
        <w:t>（包括但不限于因质量问题无条件退、换货物的承诺书）</w:t>
      </w:r>
      <w:bookmarkEnd w:id="0"/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eastAsia="zh-CN"/>
        </w:rPr>
        <w:t>等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>。</w:t>
      </w:r>
    </w:p>
    <w:p>
      <w:pPr>
        <w:pStyle w:val="2"/>
        <w:spacing w:line="360" w:lineRule="auto"/>
        <w:rPr>
          <w:rFonts w:hint="default" w:eastAsia="仿宋"/>
          <w:color w:val="FF0000"/>
          <w:lang w:val="en-US" w:eastAsia="zh-CN"/>
        </w:rPr>
      </w:pPr>
      <w:r>
        <w:rPr>
          <w:rFonts w:hint="eastAsia" w:asci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 xml:space="preserve">   </w:t>
      </w:r>
      <w:r>
        <w:rPr>
          <w:rFonts w:hint="eastAsia" w:ascii="Times New Roman" w:eastAsia="仿宋" w:cs="Times New Roman"/>
          <w:color w:val="FF0000"/>
          <w:sz w:val="28"/>
          <w:szCs w:val="28"/>
          <w:highlight w:val="none"/>
          <w:u w:val="none"/>
          <w:lang w:val="en-US" w:eastAsia="zh-CN"/>
        </w:rPr>
        <w:t xml:space="preserve"> 2.2 质量保证：符合国家规定标准的正品产品。</w:t>
      </w: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2.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交 货 期：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合同签订后2日内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eastAsia="zh-CN"/>
        </w:rPr>
        <w:t>。</w:t>
      </w: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>2.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>交货地点：蚌埠城启环境服务有限公司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>内或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>采购人指定地点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eastAsia="zh-CN"/>
        </w:rPr>
        <w:t>。</w:t>
      </w:r>
    </w:p>
    <w:p>
      <w:pPr>
        <w:pStyle w:val="2"/>
        <w:spacing w:line="360" w:lineRule="auto"/>
        <w:ind w:firstLine="560" w:firstLineChars="200"/>
        <w:rPr>
          <w:rFonts w:hint="eastAsia" w:eastAsia="仿宋"/>
          <w:lang w:val="en-US" w:eastAsia="zh-CN"/>
        </w:rPr>
      </w:pPr>
      <w:r>
        <w:rPr>
          <w:rFonts w:hint="eastAsia" w:asci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>2.5 供应商开票类型：增值税专用发票。</w:t>
      </w: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2.6付款周期：</w:t>
      </w:r>
      <w:r>
        <w:rPr>
          <w:rFonts w:hint="eastAsia" w:ascii="Times New Roman" w:hAnsi="Times New Roman" w:eastAsia="仿宋" w:cs="Times New Roman"/>
          <w:color w:val="FF0000"/>
          <w:sz w:val="28"/>
          <w:szCs w:val="28"/>
          <w:highlight w:val="none"/>
          <w:lang w:val="en-US" w:eastAsia="zh-CN"/>
        </w:rPr>
        <w:t>每季度结算一次。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  <w:u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  <w:u w:val="none"/>
        </w:rPr>
        <w:t>3.供应商资格要求</w:t>
      </w: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>3.1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>在中华人民共和国境内注册的</w:t>
      </w:r>
      <w:r>
        <w:rPr>
          <w:rFonts w:hint="eastAsia" w:ascii="Times New Roman" w:hAnsi="Times New Roman" w:eastAsia="仿宋" w:cs="Times New Roman"/>
          <w:color w:val="FF0000"/>
          <w:sz w:val="28"/>
          <w:szCs w:val="28"/>
          <w:highlight w:val="none"/>
          <w:u w:val="none"/>
          <w:lang w:val="en-US" w:eastAsia="zh-CN"/>
        </w:rPr>
        <w:t>油品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>制造商或代理商，持有有效的营业执照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>；</w:t>
      </w: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>3.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>供应商不得存在下列情形之一：</w:t>
      </w: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（1）供应商被人民法院列入失信被执行人的；</w:t>
      </w: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（2）供应商被市场监督管理部门列入严重违法失信企业名单的；</w:t>
      </w: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（3）供应商被税务部门列入重大税收违法案件当事人名单的；</w:t>
      </w: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（4）近三年供应商或其法定代表人或拟派项目负责人有行贿犯罪行为的。</w:t>
      </w:r>
    </w:p>
    <w:p>
      <w:pPr>
        <w:pStyle w:val="2"/>
        <w:spacing w:line="360" w:lineRule="auto"/>
        <w:ind w:firstLine="560"/>
        <w:rPr>
          <w:rFonts w:hint="eastAsia" w:ascii="Times New Roman" w:eastAsia="仿宋" w:cs="Times New Roman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eastAsia="仿宋" w:cs="Times New Roman"/>
          <w:color w:val="FF0000"/>
          <w:sz w:val="28"/>
          <w:szCs w:val="28"/>
          <w:highlight w:val="none"/>
          <w:lang w:val="en-US" w:eastAsia="zh-CN"/>
        </w:rPr>
        <w:t>（5）目前有重大诉讼案件未结清的。</w:t>
      </w: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FF0000"/>
          <w:sz w:val="28"/>
          <w:szCs w:val="28"/>
          <w:highlight w:val="none"/>
          <w:lang w:val="en-US" w:eastAsia="zh-CN"/>
        </w:rPr>
        <w:t>（6）不能按税务要求提供正规发票的。</w:t>
      </w:r>
    </w:p>
    <w:p>
      <w:pPr>
        <w:pageBreakBefore w:val="0"/>
        <w:widowControl w:val="0"/>
        <w:tabs>
          <w:tab w:val="left" w:pos="8222"/>
        </w:tabs>
        <w:kinsoku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3.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本次采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>购</w:t>
      </w:r>
      <w:r>
        <w:rPr>
          <w:rFonts w:hint="default" w:ascii="Times New Roman" w:hAnsi="Times New Roman" w:eastAsia="仿宋" w:cs="Times New Roman"/>
          <w:b/>
          <w:i w:val="0"/>
          <w:iCs/>
          <w:color w:val="auto"/>
          <w:sz w:val="28"/>
          <w:szCs w:val="28"/>
          <w:highlight w:val="none"/>
          <w:u w:val="none"/>
        </w:rPr>
        <w:t>不接受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>联合体。</w:t>
      </w:r>
    </w:p>
    <w:p>
      <w:pPr>
        <w:pStyle w:val="2"/>
        <w:rPr>
          <w:rFonts w:hint="eastAsia"/>
          <w:highlight w:val="none"/>
          <w:lang w:eastAsia="zh-CN"/>
        </w:rPr>
      </w:pPr>
    </w:p>
    <w:p>
      <w:pPr>
        <w:numPr>
          <w:ilvl w:val="0"/>
          <w:numId w:val="1"/>
        </w:numP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评审标准</w:t>
      </w:r>
    </w:p>
    <w:tbl>
      <w:tblPr>
        <w:tblStyle w:val="7"/>
        <w:tblpPr w:leftFromText="180" w:rightFromText="180" w:vertAnchor="text" w:tblpY="1"/>
        <w:tblOverlap w:val="never"/>
        <w:tblW w:w="977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042"/>
        <w:gridCol w:w="1130"/>
        <w:gridCol w:w="6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78" w:type="dxa"/>
            <w:gridSpan w:val="4"/>
            <w:noWrap w:val="0"/>
            <w:vAlign w:val="center"/>
          </w:tcPr>
          <w:p>
            <w:pPr>
              <w:tabs>
                <w:tab w:val="left" w:pos="8222"/>
              </w:tabs>
              <w:ind w:right="278"/>
              <w:jc w:val="center"/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详细评审标准和程序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gridSpan w:val="2"/>
            <w:noWrap w:val="0"/>
            <w:vAlign w:val="center"/>
          </w:tcPr>
          <w:p>
            <w:pPr>
              <w:tabs>
                <w:tab w:val="left" w:pos="1900"/>
                <w:tab w:val="left" w:pos="8222"/>
              </w:tabs>
              <w:ind w:right="-85" w:rightChars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8222"/>
              </w:tabs>
              <w:ind w:right="-144" w:right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分值构成（总分100分）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tabs>
                <w:tab w:val="left" w:pos="8222"/>
              </w:tabs>
              <w:ind w:right="278"/>
              <w:rPr>
                <w:rFonts w:hint="default"/>
              </w:rPr>
            </w:pPr>
            <w:r>
              <w:rPr>
                <w:rFonts w:hint="default"/>
              </w:rPr>
              <w:t>（1）商务部分：</w:t>
            </w:r>
            <w:r>
              <w:rPr>
                <w:rFonts w:hint="default"/>
                <w:lang w:val="en-US" w:eastAsia="zh-CN"/>
              </w:rPr>
              <w:t>15</w:t>
            </w:r>
            <w:r>
              <w:rPr>
                <w:rFonts w:hint="default"/>
              </w:rPr>
              <w:t>分</w:t>
            </w:r>
          </w:p>
          <w:p>
            <w:pPr>
              <w:tabs>
                <w:tab w:val="left" w:pos="8222"/>
              </w:tabs>
              <w:ind w:right="278"/>
              <w:rPr>
                <w:rFonts w:hint="default"/>
              </w:rPr>
            </w:pPr>
            <w:r>
              <w:rPr>
                <w:rFonts w:hint="default"/>
              </w:rPr>
              <w:t>（2）技术部分：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default"/>
              </w:rPr>
              <w:t>分</w:t>
            </w:r>
          </w:p>
          <w:p>
            <w:pPr>
              <w:tabs>
                <w:tab w:val="left" w:pos="8222"/>
              </w:tabs>
              <w:ind w:right="278"/>
              <w:rPr>
                <w:rFonts w:hint="eastAsia" w:eastAsiaTheme="minorEastAsia"/>
                <w:lang w:eastAsia="zh-CN"/>
              </w:rPr>
            </w:pPr>
            <w:r>
              <w:rPr>
                <w:rFonts w:hint="default"/>
              </w:rPr>
              <w:t>（3）报价：</w:t>
            </w:r>
            <w:r>
              <w:rPr>
                <w:rFonts w:hint="eastAsia"/>
                <w:color w:val="FF0000"/>
                <w:lang w:val="en-US" w:eastAsia="zh-CN"/>
              </w:rPr>
              <w:t>65</w:t>
            </w:r>
            <w:r>
              <w:rPr>
                <w:rFonts w:hint="default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gridSpan w:val="2"/>
            <w:noWrap w:val="0"/>
            <w:vAlign w:val="center"/>
          </w:tcPr>
          <w:p>
            <w:pPr>
              <w:tabs>
                <w:tab w:val="left" w:pos="8222"/>
              </w:tabs>
              <w:ind w:right="-85" w:rightChars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2320"/>
                <w:tab w:val="left" w:pos="8222"/>
              </w:tabs>
              <w:ind w:right="-144" w:right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评审基准价计算方法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pStyle w:val="6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  <w:t>价格分=（评标基准价 / 投标报价）×构成分值</w:t>
            </w: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  <w:t>（评标基准价计算结果保留二位小数，小数点后第三位四舍五入）</w:t>
            </w:r>
            <w:r>
              <w:rPr>
                <w:rFonts w:hint="eastAsia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gridSpan w:val="2"/>
            <w:noWrap w:val="0"/>
            <w:vAlign w:val="center"/>
          </w:tcPr>
          <w:p>
            <w:pPr>
              <w:tabs>
                <w:tab w:val="left" w:pos="8222"/>
              </w:tabs>
              <w:ind w:right="278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条款号及名称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8222"/>
              </w:tabs>
              <w:ind w:right="-129" w:right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评分因素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tabs>
                <w:tab w:val="left" w:pos="8222"/>
              </w:tabs>
              <w:ind w:right="278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评分标准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vMerge w:val="restart"/>
            <w:noWrap w:val="0"/>
            <w:vAlign w:val="center"/>
          </w:tcPr>
          <w:p>
            <w:pPr>
              <w:tabs>
                <w:tab w:val="left" w:pos="8222"/>
              </w:tabs>
              <w:ind w:right="-68" w:right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tabs>
                <w:tab w:val="left" w:pos="8222"/>
              </w:tabs>
              <w:ind w:right="-68" w:right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3（1）</w:t>
            </w:r>
          </w:p>
        </w:tc>
        <w:tc>
          <w:tcPr>
            <w:tcW w:w="1042" w:type="dxa"/>
            <w:vMerge w:val="restart"/>
            <w:noWrap w:val="0"/>
            <w:vAlign w:val="center"/>
          </w:tcPr>
          <w:p>
            <w:pPr>
              <w:tabs>
                <w:tab w:val="left" w:pos="8222"/>
              </w:tabs>
              <w:ind w:right="-33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商务评分标准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15分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8222"/>
              </w:tabs>
              <w:ind w:right="-48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业绩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分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供应商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自20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年1月1日以来（以合同签订时间为准）具有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类似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供货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的业绩，每提供一个得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分，最高得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分。</w:t>
            </w:r>
          </w:p>
          <w:p>
            <w:pPr>
              <w:jc w:val="left"/>
              <w:rPr>
                <w:rFonts w:hint="default" w:ascii="Times New Roman" w:hAnsi="Times New Roman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注：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响应文件中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须提供合同关键页（含项目名称、项目内容、甲乙双方签字盖章页）</w:t>
            </w:r>
            <w:r>
              <w:rPr>
                <w:rFonts w:hint="default" w:ascii="Times New Roman" w:hAnsi="Times New Roman" w:eastAsia="新宋体" w:cs="Times New Roman"/>
                <w:b/>
                <w:sz w:val="21"/>
                <w:szCs w:val="21"/>
                <w:highlight w:val="none"/>
              </w:rPr>
              <w:t>及验收报告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  <w:highlight w:val="none"/>
              </w:rPr>
              <w:t>扫描件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vMerge w:val="continue"/>
            <w:noWrap w:val="0"/>
            <w:vAlign w:val="center"/>
          </w:tcPr>
          <w:p>
            <w:pPr>
              <w:tabs>
                <w:tab w:val="left" w:pos="8222"/>
              </w:tabs>
              <w:ind w:right="-68" w:right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2" w:type="dxa"/>
            <w:vMerge w:val="continue"/>
            <w:noWrap w:val="0"/>
            <w:vAlign w:val="center"/>
          </w:tcPr>
          <w:p>
            <w:pPr>
              <w:tabs>
                <w:tab w:val="left" w:pos="8222"/>
              </w:tabs>
              <w:ind w:right="-33" w:right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8222"/>
              </w:tabs>
              <w:ind w:right="-48" w:rightChars="0"/>
              <w:jc w:val="center"/>
              <w:rPr>
                <w:rFonts w:hint="eastAsia" w:ascii="Times New Roman" w:hAnsi="Times New Roman" w:cs="Times New Roman" w:eastAsiaTheme="minorEastAsia"/>
                <w:color w:val="FF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1"/>
                <w:szCs w:val="21"/>
                <w:highlight w:val="none"/>
                <w:lang w:eastAsia="zh-CN"/>
              </w:rPr>
              <w:t>行业及产品认证（</w:t>
            </w:r>
            <w:r>
              <w:rPr>
                <w:rFonts w:hint="eastAsia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  <w:t>10分</w:t>
            </w:r>
            <w:r>
              <w:rPr>
                <w:rFonts w:hint="eastAsia" w:ascii="Times New Roman" w:hAnsi="Times New Roman" w:cs="Times New Roman"/>
                <w:color w:val="FF000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1"/>
                <w:szCs w:val="21"/>
                <w:highlight w:val="none"/>
                <w:lang w:eastAsia="zh-CN"/>
              </w:rPr>
              <w:t>有权威机构颁发的产品认证，每提供一个得</w:t>
            </w:r>
            <w:r>
              <w:rPr>
                <w:rFonts w:hint="eastAsia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  <w:t>2分，最高得10分。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89" w:type="dxa"/>
            <w:vMerge w:val="restart"/>
            <w:noWrap w:val="0"/>
            <w:vAlign w:val="center"/>
          </w:tcPr>
          <w:p>
            <w:pPr>
              <w:tabs>
                <w:tab w:val="left" w:pos="640"/>
                <w:tab w:val="left" w:pos="8222"/>
              </w:tabs>
              <w:ind w:right="-68" w:rightChars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3（2）</w:t>
            </w:r>
          </w:p>
        </w:tc>
        <w:tc>
          <w:tcPr>
            <w:tcW w:w="1042" w:type="dxa"/>
            <w:vMerge w:val="restart"/>
            <w:noWrap w:val="0"/>
            <w:vAlign w:val="center"/>
          </w:tcPr>
          <w:p>
            <w:pPr>
              <w:tabs>
                <w:tab w:val="left" w:pos="630"/>
                <w:tab w:val="left" w:pos="8222"/>
              </w:tabs>
              <w:ind w:right="-33" w:rightChars="0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cyan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技术评分标准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20分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发票类型</w:t>
            </w:r>
            <w:r>
              <w:rPr>
                <w:rFonts w:hint="default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default"/>
                <w:lang w:eastAsia="zh-CN"/>
              </w:rPr>
              <w:t>分）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jc w:val="left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能提供增值税专用发票的，得</w:t>
            </w:r>
            <w:r>
              <w:rPr>
                <w:rFonts w:hint="eastAsia"/>
                <w:color w:val="FF0000"/>
                <w:lang w:val="en-US" w:eastAsia="zh-CN"/>
              </w:rPr>
              <w:t>10分；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只能提供普通发票的，得5分；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vMerge w:val="continue"/>
            <w:noWrap w:val="0"/>
            <w:vAlign w:val="center"/>
          </w:tcPr>
          <w:p>
            <w:pPr>
              <w:tabs>
                <w:tab w:val="left" w:pos="8222"/>
              </w:tabs>
              <w:ind w:right="278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42" w:type="dxa"/>
            <w:vMerge w:val="continue"/>
            <w:noWrap w:val="0"/>
            <w:vAlign w:val="center"/>
          </w:tcPr>
          <w:p>
            <w:pPr>
              <w:tabs>
                <w:tab w:val="left" w:pos="8222"/>
              </w:tabs>
              <w:ind w:right="278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结算周期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分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pStyle w:val="6"/>
              <w:numPr>
                <w:ilvl w:val="0"/>
                <w:numId w:val="2"/>
              </w:numPr>
              <w:rPr>
                <w:rFonts w:hint="default" w:ascii="Times New Roman" w:hAnsi="Times New Roman" w:cs="Times New Roman" w:eastAsia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付款周期≥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3个月，得10分。</w:t>
            </w:r>
          </w:p>
          <w:p>
            <w:pPr>
              <w:pStyle w:val="6"/>
              <w:numPr>
                <w:ilvl w:val="0"/>
                <w:numId w:val="2"/>
              </w:numPr>
              <w:rPr>
                <w:rFonts w:hint="default" w:ascii="Times New Roman" w:hAnsi="Times New Roman" w:cs="Times New Roman" w:eastAsia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2个月≤付款周期＜3个月，得8分。</w:t>
            </w:r>
          </w:p>
          <w:p>
            <w:pPr>
              <w:pStyle w:val="6"/>
              <w:numPr>
                <w:ilvl w:val="0"/>
                <w:numId w:val="2"/>
              </w:numPr>
              <w:rPr>
                <w:rFonts w:hint="default" w:ascii="Times New Roman" w:hAnsi="Times New Roman" w:cs="Times New Roman" w:eastAsia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1个月≤付款周期＜2个月，得6分。</w:t>
            </w:r>
          </w:p>
          <w:p>
            <w:pPr>
              <w:pStyle w:val="6"/>
              <w:numPr>
                <w:ilvl w:val="0"/>
                <w:numId w:val="2"/>
              </w:numPr>
              <w:rPr>
                <w:rFonts w:hint="default" w:ascii="Times New Roman" w:hAnsi="Times New Roman" w:cs="Times New Roman" w:eastAsia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现结或预付款＜付款周期＜1个月，得4分。</w:t>
            </w:r>
          </w:p>
          <w:p>
            <w:pPr>
              <w:jc w:val="left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货款现结或预付款，0分。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noWrap w:val="0"/>
            <w:vAlign w:val="center"/>
          </w:tcPr>
          <w:p>
            <w:pPr>
              <w:tabs>
                <w:tab w:val="left" w:pos="8222"/>
              </w:tabs>
              <w:ind w:right="-67" w:rightChars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tabs>
                <w:tab w:val="left" w:pos="8222"/>
              </w:tabs>
              <w:ind w:right="-14" w:rightChars="0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报价评分标准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65分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747" w:type="dxa"/>
            <w:gridSpan w:val="2"/>
            <w:noWrap w:val="0"/>
            <w:vAlign w:val="center"/>
          </w:tcPr>
          <w:p>
            <w:pPr>
              <w:pStyle w:val="6"/>
              <w:rPr>
                <w:rFonts w:hint="eastAsia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  <w:t>同等级或品牌，价格分采用低价优先法计算，取所有技术入围投标人中投标价格最低的投标报价为</w:t>
            </w: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1"/>
                <w:szCs w:val="21"/>
                <w:highlight w:val="none"/>
                <w:lang w:val="en-US" w:eastAsia="zh-CN"/>
              </w:rPr>
              <w:t>评标基准价</w:t>
            </w:r>
            <w:r>
              <w:rPr>
                <w:rFonts w:hint="eastAsia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  <w:t>，其他投标人的价格分按照下列公式计算：</w:t>
            </w:r>
          </w:p>
          <w:p>
            <w:pPr>
              <w:pStyle w:val="6"/>
              <w:rPr>
                <w:rFonts w:hint="eastAsia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  <w:t>价格分=（评标基准价 / 投标报价）×65</w:t>
            </w: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  <w:t>（评标基准价计算结果保留二位小数，小数点后第三位四舍五入）</w:t>
            </w:r>
            <w:r>
              <w:rPr>
                <w:rFonts w:hint="eastAsia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  <w:t>。</w:t>
            </w:r>
          </w:p>
          <w:p>
            <w:pPr>
              <w:pStyle w:val="6"/>
              <w:rPr>
                <w:rFonts w:hint="default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1"/>
                <w:szCs w:val="21"/>
                <w:highlight w:val="none"/>
                <w:lang w:val="en-US" w:eastAsia="zh-CN"/>
              </w:rPr>
              <w:t>单价报价超控制价取消投标权利。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gridSpan w:val="2"/>
            <w:noWrap w:val="0"/>
            <w:vAlign w:val="center"/>
          </w:tcPr>
          <w:p>
            <w:pPr>
              <w:tabs>
                <w:tab w:val="left" w:pos="8222"/>
              </w:tabs>
              <w:ind w:right="278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8222"/>
              </w:tabs>
              <w:ind w:right="-56" w:right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条款内容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tabs>
                <w:tab w:val="left" w:pos="8222"/>
              </w:tabs>
              <w:ind w:right="278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编列内容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gridSpan w:val="2"/>
            <w:noWrap w:val="0"/>
            <w:vAlign w:val="center"/>
          </w:tcPr>
          <w:p>
            <w:pPr>
              <w:tabs>
                <w:tab w:val="left" w:pos="8222"/>
              </w:tabs>
              <w:ind w:right="278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8222"/>
              </w:tabs>
              <w:ind w:right="-56" w:rightChars="0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供应商并列时确定供应商优先顺序的规则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tabs>
                <w:tab w:val="left" w:pos="8222"/>
              </w:tabs>
              <w:ind w:right="278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由评审小组投票决定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  <w:lang w:eastAsia="zh-CN"/>
        </w:rPr>
      </w:pPr>
    </w:p>
    <w:p>
      <w:pPr>
        <w:pStyle w:val="2"/>
        <w:rPr>
          <w:rFonts w:hint="eastAsia"/>
          <w:highlight w:val="none"/>
          <w:lang w:eastAsia="zh-CN"/>
        </w:rPr>
      </w:pPr>
    </w:p>
    <w:p>
      <w:pPr>
        <w:spacing w:line="360" w:lineRule="auto"/>
        <w:ind w:firstLine="420" w:firstLineChars="0"/>
        <w:jc w:val="both"/>
        <w:outlineLvl w:val="0"/>
        <w:rPr>
          <w:rFonts w:hint="eastAsia" w:ascii="仿宋" w:hAnsi="仿宋" w:eastAsia="仿宋" w:cs="仿宋"/>
          <w:b w:val="0"/>
          <w:bCs w:val="0"/>
          <w:sz w:val="34"/>
          <w:szCs w:val="34"/>
          <w:highlight w:val="none"/>
          <w:lang w:val="en-US" w:eastAsia="zh-CN"/>
        </w:rPr>
      </w:pPr>
    </w:p>
    <w:p>
      <w:pPr>
        <w:spacing w:line="360" w:lineRule="auto"/>
        <w:ind w:firstLine="420" w:firstLineChars="0"/>
        <w:jc w:val="both"/>
        <w:outlineLvl w:val="0"/>
        <w:rPr>
          <w:rFonts w:hint="eastAsia" w:ascii="仿宋" w:hAnsi="仿宋" w:eastAsia="仿宋" w:cs="仿宋"/>
          <w:b w:val="0"/>
          <w:bCs w:val="0"/>
          <w:sz w:val="34"/>
          <w:szCs w:val="34"/>
          <w:lang w:val="en-US" w:eastAsia="zh-CN"/>
        </w:rPr>
      </w:pPr>
    </w:p>
    <w:p>
      <w:pPr>
        <w:jc w:val="left"/>
        <w:outlineLvl w:val="0"/>
        <w:rPr>
          <w:rFonts w:hint="eastAsia" w:ascii="仿宋" w:hAnsi="仿宋" w:eastAsia="仿宋" w:cs="仿宋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4"/>
          <w:szCs w:val="34"/>
          <w:lang w:val="en-US" w:eastAsia="zh-CN"/>
        </w:rPr>
        <w:t>附件：</w:t>
      </w:r>
    </w:p>
    <w:p>
      <w:pPr>
        <w:jc w:val="center"/>
        <w:outlineLvl w:val="0"/>
        <w:rPr>
          <w:rFonts w:hint="eastAsia" w:ascii="宋体" w:hAnsi="宋体" w:cs="宋体" w:eastAsiaTheme="minorEastAsia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车辆保养油品需求信息</w:t>
      </w:r>
    </w:p>
    <w:tbl>
      <w:tblPr>
        <w:tblStyle w:val="7"/>
        <w:tblW w:w="5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06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96" w:type="dxa"/>
            <w:shd w:val="clear" w:color="auto" w:fill="E7E6E6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名称</w:t>
            </w:r>
          </w:p>
        </w:tc>
        <w:tc>
          <w:tcPr>
            <w:tcW w:w="2060" w:type="dxa"/>
            <w:shd w:val="clear" w:color="auto" w:fill="E7E6E6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型号规格</w:t>
            </w:r>
          </w:p>
        </w:tc>
        <w:tc>
          <w:tcPr>
            <w:tcW w:w="1985" w:type="dxa"/>
            <w:shd w:val="clear" w:color="auto" w:fill="E7E6E6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lang w:eastAsia="zh-CN"/>
              </w:rPr>
              <w:t>控制单价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润滑脂 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HP-R   15kg/18L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180</w:t>
            </w:r>
            <w:r>
              <w:rPr>
                <w:rFonts w:hint="eastAsia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重车齿轮油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85W-140 GL-5170kg/200L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2350元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D0T4机动车辆制动液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800g/900ml-C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8号液力传动油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16kg/20L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柴油机油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T400\CH-4 15W-40/200L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2798元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抗磨液压油（高压）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HM46抗磨液压油（高压/200L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2400元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汽油机油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15W-40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3.5kg/4L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16.33元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E2184F"/>
    <w:multiLevelType w:val="singleLevel"/>
    <w:tmpl w:val="C5E2184F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D815330"/>
    <w:multiLevelType w:val="singleLevel"/>
    <w:tmpl w:val="CD81533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TBlZDRkYWM0ODcxMzc4NDg4ODhkYzk3OWQzM2UifQ=="/>
  </w:docVars>
  <w:rsids>
    <w:rsidRoot w:val="00000000"/>
    <w:rsid w:val="02205BD8"/>
    <w:rsid w:val="02E6207B"/>
    <w:rsid w:val="0BAE53AD"/>
    <w:rsid w:val="10690191"/>
    <w:rsid w:val="10A06571"/>
    <w:rsid w:val="11860366"/>
    <w:rsid w:val="13136463"/>
    <w:rsid w:val="13373299"/>
    <w:rsid w:val="19A74B1B"/>
    <w:rsid w:val="1D122855"/>
    <w:rsid w:val="1FC35DD8"/>
    <w:rsid w:val="2058563A"/>
    <w:rsid w:val="26454056"/>
    <w:rsid w:val="2949740B"/>
    <w:rsid w:val="2D3E1415"/>
    <w:rsid w:val="2DBB5440"/>
    <w:rsid w:val="31480A5A"/>
    <w:rsid w:val="32F80C45"/>
    <w:rsid w:val="36360ACE"/>
    <w:rsid w:val="38590D2D"/>
    <w:rsid w:val="39A437A8"/>
    <w:rsid w:val="3A6158FC"/>
    <w:rsid w:val="3D3E0D3C"/>
    <w:rsid w:val="40042A7C"/>
    <w:rsid w:val="418E505B"/>
    <w:rsid w:val="426264B9"/>
    <w:rsid w:val="437A32B8"/>
    <w:rsid w:val="44334BDF"/>
    <w:rsid w:val="4A0C59CF"/>
    <w:rsid w:val="568A7075"/>
    <w:rsid w:val="57A22E20"/>
    <w:rsid w:val="5E3873B6"/>
    <w:rsid w:val="5FC930AA"/>
    <w:rsid w:val="651C72B0"/>
    <w:rsid w:val="6B66450C"/>
    <w:rsid w:val="6F5C0E88"/>
    <w:rsid w:val="7122485F"/>
    <w:rsid w:val="72443E8D"/>
    <w:rsid w:val="72574DCF"/>
    <w:rsid w:val="783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ind w:firstLine="200" w:firstLineChars="200"/>
      <w:jc w:val="left"/>
      <w:outlineLvl w:val="1"/>
    </w:pPr>
    <w:rPr>
      <w:rFonts w:ascii="宋体" w:hAnsi="宋体" w:cs="Times New Roman"/>
      <w:b/>
      <w:bCs/>
      <w:sz w:val="28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napToGrid w:val="0"/>
      <w:spacing w:line="440" w:lineRule="exact"/>
      <w:ind w:left="-21"/>
    </w:pPr>
    <w:rPr>
      <w:rFonts w:ascii="Arial" w:hAnsi="Times New Roman"/>
      <w:color w:val="000000"/>
      <w:sz w:val="28"/>
      <w:szCs w:val="28"/>
    </w:rPr>
  </w:style>
  <w:style w:type="paragraph" w:styleId="4">
    <w:name w:val="Body Text"/>
    <w:basedOn w:val="1"/>
    <w:next w:val="5"/>
    <w:qFormat/>
    <w:uiPriority w:val="0"/>
    <w:rPr>
      <w:rFonts w:ascii="宋体" w:hAnsi="Arial"/>
      <w:sz w:val="28"/>
      <w:szCs w:val="20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1258</Words>
  <Characters>1419</Characters>
  <Lines>0</Lines>
  <Paragraphs>0</Paragraphs>
  <TotalTime>50</TotalTime>
  <ScaleCrop>false</ScaleCrop>
  <LinksUpToDate>false</LinksUpToDate>
  <CharactersWithSpaces>1463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2023-02-20T02:01:00Z</dcterms:created>
  <dc:creator>Administrator</dc:creator>
  <cp:lastModifiedBy>An answer</cp:lastModifiedBy>
  <dcterms:modified xsi:type="dcterms:W3CDTF">2023-03-09T02:27:29Z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7616B83492794F2A828DC323A4B90A0A</vt:lpwstr>
  </property>
</Properties>
</file>